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-_</w:t>
      </w:r>
      <w:r>
        <w:rPr>
          <w:rFonts w:ascii="Times New Roman" w:eastAsia="Times New Roman" w:hAnsi="Times New Roman" w:cs="Times New Roman"/>
          <w:sz w:val="26"/>
          <w:szCs w:val="26"/>
        </w:rPr>
        <w:t>1032</w:t>
      </w:r>
      <w:r>
        <w:rPr>
          <w:rFonts w:ascii="Times New Roman" w:eastAsia="Times New Roman" w:hAnsi="Times New Roman" w:cs="Times New Roman"/>
          <w:sz w:val="26"/>
          <w:szCs w:val="26"/>
        </w:rPr>
        <w:t>_-260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86MS0063-01-2025-005614-05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410,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неопрятный вне</w:t>
      </w:r>
      <w:r>
        <w:rPr>
          <w:rFonts w:ascii="Times New Roman" w:eastAsia="Times New Roman" w:hAnsi="Times New Roman" w:cs="Times New Roman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надлежащим образом, в материалах дела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25.1 КоАП РФ 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414161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02.09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сотрудника ОБППСП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ВД по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г.Сургуту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  <w:sz w:val="26"/>
          <w:szCs w:val="26"/>
        </w:rPr>
        <w:t>02.09</w:t>
      </w:r>
      <w:r>
        <w:rPr>
          <w:rFonts w:ascii="Times New Roman" w:eastAsia="Times New Roman" w:hAnsi="Times New Roman" w:cs="Times New Roman"/>
          <w:sz w:val="26"/>
          <w:szCs w:val="26"/>
        </w:rPr>
        <w:t>.2025г.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02.09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суд признает наличие инвалидности 2 группы.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то обстоятельство, что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 вторую группу инвалидности, в связи с чем, в соответствии с ч. 2 ст. 3.9 КоАП РФ ему не может быть назначено наказание в виде обязательных работ и административного ареста,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Нямцу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Степановича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1000 (одна тысяча)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16 01203 01 0021 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0412365400635010322520118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И.А. Романова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03 сентября 2025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1032</w:t>
      </w:r>
      <w:r>
        <w:rPr>
          <w:rFonts w:ascii="Times New Roman" w:eastAsia="Times New Roman" w:hAnsi="Times New Roman" w:cs="Times New Roman"/>
          <w:sz w:val="16"/>
          <w:szCs w:val="16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0">
    <w:name w:val="cat-UserDefined grp-3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